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AC" w:rsidRDefault="00FE23AC" w:rsidP="00FE23AC">
      <w:r>
        <w:t>Длина—250 мм</w:t>
      </w:r>
    </w:p>
    <w:p w:rsidR="00FE23AC" w:rsidRDefault="00FE23AC" w:rsidP="00FE23AC">
      <w:r>
        <w:t>Диапазон раскрытия губок на 30% больше, чем у стандартного ключа.</w:t>
      </w:r>
    </w:p>
    <w:p w:rsidR="00134D25" w:rsidRDefault="00134D25"/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E23AC"/>
    <w:rsid w:val="00134D25"/>
    <w:rsid w:val="00B047E1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2024-01-16T06:31:00Z</dcterms:created>
  <dcterms:modified xsi:type="dcterms:W3CDTF">2024-01-16T06:31:00Z</dcterms:modified>
</cp:coreProperties>
</file>